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CD00C2" w:rsidP="00462EF0">
            <w:pPr>
              <w:tabs>
                <w:tab w:val="right" w:pos="14356"/>
              </w:tabs>
              <w:spacing w:line="240" w:lineRule="auto"/>
              <w:rPr>
                <w:i/>
                <w:sz w:val="18"/>
                <w:szCs w:val="18"/>
              </w:rPr>
            </w:pPr>
            <w:r>
              <w:rPr>
                <w:b/>
                <w:color w:val="FFFFFF" w:themeColor="background1"/>
                <w:sz w:val="18"/>
                <w:szCs w:val="18"/>
              </w:rPr>
              <w:t xml:space="preserve">VSA.02 </w:t>
            </w:r>
            <w:r w:rsidR="00307BA9">
              <w:rPr>
                <w:b/>
                <w:color w:val="FFFFFF" w:themeColor="background1"/>
                <w:sz w:val="18"/>
                <w:szCs w:val="18"/>
              </w:rPr>
              <w:t xml:space="preserve">MEDEWERKER LEDENINFORMATIE </w:t>
            </w:r>
            <w:r w:rsidR="00F436C5">
              <w:rPr>
                <w:b/>
                <w:color w:val="FFFFFF" w:themeColor="background1"/>
                <w:sz w:val="18"/>
                <w:szCs w:val="18"/>
              </w:rPr>
              <w:t>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F436C5">
              <w:rPr>
                <w:color w:val="FFFFFF" w:themeColor="background1"/>
                <w:sz w:val="18"/>
                <w:szCs w:val="18"/>
              </w:rPr>
              <w:t>service &amp; -advies</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8A4466" w:rsidRPr="00EA6EFB" w:rsidRDefault="008A4466" w:rsidP="00462EF0">
            <w:pPr>
              <w:spacing w:line="240" w:lineRule="auto"/>
              <w:rPr>
                <w:b/>
                <w:color w:val="F18213"/>
                <w:sz w:val="18"/>
                <w:szCs w:val="18"/>
                <w:lang w:bidi="x-none"/>
              </w:rPr>
            </w:pPr>
            <w:r w:rsidRPr="00EA6EFB">
              <w:rPr>
                <w:b/>
                <w:color w:val="F18213"/>
                <w:sz w:val="18"/>
                <w:szCs w:val="18"/>
              </w:rPr>
              <w:t>Context</w:t>
            </w:r>
          </w:p>
          <w:p w:rsidR="00462EF0" w:rsidRPr="00D06CB4" w:rsidRDefault="00462EF0" w:rsidP="00462EF0">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8A4466" w:rsidRPr="00EA6EFB" w:rsidRDefault="004C197B" w:rsidP="00462EF0">
            <w:pPr>
              <w:spacing w:line="240" w:lineRule="auto"/>
              <w:rPr>
                <w:color w:val="auto"/>
                <w:sz w:val="18"/>
                <w:szCs w:val="18"/>
              </w:rPr>
            </w:pPr>
            <w:r>
              <w:rPr>
                <w:color w:val="000000" w:themeColor="text1"/>
                <w:sz w:val="18"/>
                <w:szCs w:val="18"/>
              </w:rPr>
              <w:t xml:space="preserve">Binnen de afdeling dienstverlening is, naast verenigingsadvies, het team ledenservice geplaatst. De ledenservice is verantwoordelijk voor de service en informatieverstrekking aan en klachtafhandeling van leden. Daarnaast verzorgt het team het administratief beheer van het relatiebestand (leden, trainers, docenten etc.). Het team ledenservice ondersteunt het team verenigingsadvies (buitendienst t.b.v. verenigingsadvies) op administratie en secretarieel gebied. </w:t>
            </w:r>
            <w:r w:rsidR="000B670F">
              <w:rPr>
                <w:color w:val="auto"/>
                <w:sz w:val="18"/>
                <w:szCs w:val="18"/>
              </w:rPr>
              <w:t>De medewerker ledeninformatie</w:t>
            </w:r>
            <w:r w:rsidR="00A66EC4">
              <w:rPr>
                <w:color w:val="auto"/>
                <w:sz w:val="18"/>
                <w:szCs w:val="18"/>
              </w:rPr>
              <w:t xml:space="preserve"> I</w:t>
            </w:r>
            <w:r w:rsidR="000B670F">
              <w:rPr>
                <w:color w:val="auto"/>
                <w:sz w:val="18"/>
                <w:szCs w:val="18"/>
              </w:rPr>
              <w:t xml:space="preserve"> is verantwoordelijk voor informatievoorziening (telefonisch en per e</w:t>
            </w:r>
            <w:r w:rsidR="007C61B0">
              <w:rPr>
                <w:color w:val="auto"/>
                <w:sz w:val="18"/>
                <w:szCs w:val="18"/>
              </w:rPr>
              <w:t>-</w:t>
            </w:r>
            <w:r w:rsidR="000B670F">
              <w:rPr>
                <w:color w:val="auto"/>
                <w:sz w:val="18"/>
                <w:szCs w:val="18"/>
              </w:rPr>
              <w:t xml:space="preserve">mail) aan leden </w:t>
            </w:r>
            <w:r w:rsidR="007C61B0">
              <w:rPr>
                <w:color w:val="auto"/>
                <w:sz w:val="18"/>
                <w:szCs w:val="18"/>
              </w:rPr>
              <w:t>over</w:t>
            </w:r>
            <w:r w:rsidR="000B670F">
              <w:rPr>
                <w:color w:val="auto"/>
                <w:sz w:val="18"/>
                <w:szCs w:val="18"/>
              </w:rPr>
              <w:t xml:space="preserve"> de service en dienstverlening van de bond, inspelend op specifieke wensen en behoeften. Daarnaast is het klachtenbeheer ondergebracht bij de functiehouder. </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EA6EFB" w:rsidRDefault="008A4466" w:rsidP="00A51BFC">
            <w:pPr>
              <w:spacing w:line="240" w:lineRule="auto"/>
              <w:rPr>
                <w:b/>
                <w:color w:val="F18213"/>
                <w:sz w:val="18"/>
                <w:szCs w:val="18"/>
              </w:rPr>
            </w:pPr>
            <w:r w:rsidRPr="00EA6EFB">
              <w:rPr>
                <w:b/>
                <w:color w:val="F18213"/>
                <w:sz w:val="18"/>
                <w:szCs w:val="18"/>
              </w:rPr>
              <w:t>Doel</w:t>
            </w:r>
          </w:p>
          <w:p w:rsidR="007E18CB" w:rsidRPr="00EA6EFB" w:rsidRDefault="000B670F" w:rsidP="00A51BFC">
            <w:pPr>
              <w:spacing w:line="240" w:lineRule="auto"/>
              <w:rPr>
                <w:sz w:val="18"/>
                <w:szCs w:val="18"/>
              </w:rPr>
            </w:pPr>
            <w:r>
              <w:rPr>
                <w:color w:val="000000" w:themeColor="text1"/>
                <w:sz w:val="18"/>
                <w:szCs w:val="18"/>
              </w:rPr>
              <w:t>Juiste inf</w:t>
            </w:r>
            <w:r w:rsidR="007C61B0">
              <w:rPr>
                <w:color w:val="000000" w:themeColor="text1"/>
                <w:sz w:val="18"/>
                <w:szCs w:val="18"/>
              </w:rPr>
              <w:t>ormatievoorziening aan (potentië</w:t>
            </w:r>
            <w:r>
              <w:rPr>
                <w:color w:val="000000" w:themeColor="text1"/>
                <w:sz w:val="18"/>
                <w:szCs w:val="18"/>
              </w:rPr>
              <w:t>le) leden e</w:t>
            </w:r>
            <w:r w:rsidR="00C45805">
              <w:rPr>
                <w:color w:val="000000" w:themeColor="text1"/>
                <w:sz w:val="18"/>
                <w:szCs w:val="18"/>
              </w:rPr>
              <w:t>n adequaat</w:t>
            </w:r>
            <w:r>
              <w:rPr>
                <w:color w:val="000000" w:themeColor="text1"/>
                <w:sz w:val="18"/>
                <w:szCs w:val="18"/>
              </w:rPr>
              <w:t xml:space="preserve"> k</w:t>
            </w:r>
            <w:r w:rsidR="00C45805">
              <w:rPr>
                <w:color w:val="000000" w:themeColor="text1"/>
                <w:sz w:val="18"/>
                <w:szCs w:val="18"/>
              </w:rPr>
              <w:t>lachtbeheer</w:t>
            </w:r>
            <w:r>
              <w:rPr>
                <w:color w:val="000000" w:themeColor="text1"/>
                <w:sz w:val="18"/>
                <w:szCs w:val="18"/>
              </w:rPr>
              <w:t xml:space="preserve">. </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EA6EFB" w:rsidRDefault="00952F07" w:rsidP="00A51BFC">
            <w:pPr>
              <w:spacing w:line="240" w:lineRule="auto"/>
              <w:rPr>
                <w:b/>
                <w:color w:val="F18213"/>
                <w:sz w:val="18"/>
                <w:szCs w:val="18"/>
              </w:rPr>
            </w:pPr>
            <w:r w:rsidRPr="00EA6EFB">
              <w:rPr>
                <w:b/>
                <w:color w:val="F18213"/>
                <w:sz w:val="18"/>
                <w:szCs w:val="18"/>
              </w:rPr>
              <w:t>Rapportagestructuur</w:t>
            </w:r>
          </w:p>
          <w:p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FF0677">
              <w:rPr>
                <w:color w:val="000000" w:themeColor="text1"/>
                <w:sz w:val="18"/>
                <w:szCs w:val="18"/>
                <w:lang w:bidi="x-none"/>
              </w:rPr>
              <w:t>teamleider ledenservice</w:t>
            </w:r>
          </w:p>
          <w:p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FF0677">
              <w:rPr>
                <w:color w:val="000000" w:themeColor="text1"/>
                <w:sz w:val="18"/>
                <w:szCs w:val="18"/>
                <w:lang w:bidi="x-none"/>
              </w:rPr>
              <w:t>niet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FF0677" w:rsidRPr="00EA6EFB" w:rsidTr="001603C7">
        <w:tc>
          <w:tcPr>
            <w:tcW w:w="10071" w:type="dxa"/>
            <w:tcBorders>
              <w:top w:val="single" w:sz="4" w:space="0" w:color="auto"/>
              <w:bottom w:val="single" w:sz="4" w:space="0" w:color="auto"/>
            </w:tcBorders>
            <w:tcMar>
              <w:top w:w="57" w:type="dxa"/>
              <w:bottom w:w="57" w:type="dxa"/>
            </w:tcMar>
          </w:tcPr>
          <w:p w:rsidR="00FF0677" w:rsidRPr="00FF0677" w:rsidRDefault="00FF0677" w:rsidP="00FF0677">
            <w:pPr>
              <w:spacing w:line="240" w:lineRule="auto"/>
              <w:ind w:left="284" w:hanging="284"/>
              <w:rPr>
                <w:rFonts w:cs="Arial"/>
                <w:b/>
                <w:color w:val="000000" w:themeColor="text1"/>
                <w:sz w:val="18"/>
                <w:szCs w:val="18"/>
              </w:rPr>
            </w:pPr>
            <w:r w:rsidRPr="00FF0677">
              <w:rPr>
                <w:rFonts w:cs="Arial"/>
                <w:b/>
                <w:color w:val="000000" w:themeColor="text1"/>
                <w:sz w:val="18"/>
                <w:szCs w:val="18"/>
              </w:rPr>
              <w:t>1.</w:t>
            </w:r>
            <w:r w:rsidRPr="00FF0677">
              <w:rPr>
                <w:rFonts w:cs="Arial"/>
                <w:b/>
                <w:color w:val="000000" w:themeColor="text1"/>
                <w:sz w:val="18"/>
                <w:szCs w:val="18"/>
              </w:rPr>
              <w:tab/>
              <w:t>Informatievoorziening</w:t>
            </w:r>
          </w:p>
          <w:p w:rsidR="00FF0677" w:rsidRPr="00FF0677" w:rsidRDefault="00FF0677" w:rsidP="00FF0677">
            <w:pPr>
              <w:spacing w:line="240" w:lineRule="auto"/>
              <w:ind w:left="284" w:hanging="284"/>
              <w:rPr>
                <w:rFonts w:cs="Arial"/>
                <w:color w:val="000000" w:themeColor="text1"/>
                <w:sz w:val="18"/>
                <w:szCs w:val="18"/>
              </w:rPr>
            </w:pPr>
            <w:r w:rsidRPr="00FF0677">
              <w:rPr>
                <w:rFonts w:cs="Arial"/>
                <w:color w:val="000000" w:themeColor="text1"/>
                <w:sz w:val="18"/>
                <w:szCs w:val="18"/>
              </w:rPr>
              <w:tab/>
            </w:r>
            <w:r>
              <w:rPr>
                <w:rFonts w:cs="Arial"/>
                <w:color w:val="000000" w:themeColor="text1"/>
                <w:sz w:val="18"/>
                <w:szCs w:val="18"/>
              </w:rPr>
              <w:t xml:space="preserve">Leden </w:t>
            </w:r>
            <w:r w:rsidRPr="00FF0677">
              <w:rPr>
                <w:rFonts w:cs="Arial"/>
                <w:color w:val="000000" w:themeColor="text1"/>
                <w:sz w:val="18"/>
                <w:szCs w:val="18"/>
              </w:rPr>
              <w:t xml:space="preserve">zijn gewezen op en geïnformeerd over de </w:t>
            </w:r>
            <w:r>
              <w:rPr>
                <w:rFonts w:cs="Arial"/>
                <w:color w:val="000000" w:themeColor="text1"/>
                <w:sz w:val="18"/>
                <w:szCs w:val="18"/>
              </w:rPr>
              <w:t>service en dienstverlening van de sportbond</w:t>
            </w:r>
            <w:r w:rsidRPr="00FF0677">
              <w:rPr>
                <w:rFonts w:cs="Arial"/>
                <w:color w:val="000000" w:themeColor="text1"/>
                <w:sz w:val="18"/>
                <w:szCs w:val="18"/>
              </w:rPr>
              <w:t xml:space="preserve">, waarbij is ingespeeld op de behoeften en interesses van </w:t>
            </w:r>
            <w:r w:rsidR="007C61B0">
              <w:rPr>
                <w:rFonts w:cs="Arial"/>
                <w:color w:val="000000" w:themeColor="text1"/>
                <w:sz w:val="18"/>
                <w:szCs w:val="18"/>
              </w:rPr>
              <w:t>het (potentië</w:t>
            </w:r>
            <w:r>
              <w:rPr>
                <w:rFonts w:cs="Arial"/>
                <w:color w:val="000000" w:themeColor="text1"/>
                <w:sz w:val="18"/>
                <w:szCs w:val="18"/>
              </w:rPr>
              <w:t>le) lid</w:t>
            </w:r>
            <w:r w:rsidRPr="00FF0677">
              <w:rPr>
                <w:rFonts w:cs="Arial"/>
                <w:color w:val="000000" w:themeColor="text1"/>
                <w:sz w:val="18"/>
                <w:szCs w:val="18"/>
              </w:rPr>
              <w:t>.</w:t>
            </w:r>
          </w:p>
        </w:tc>
        <w:tc>
          <w:tcPr>
            <w:tcW w:w="4501" w:type="dxa"/>
            <w:tcBorders>
              <w:top w:val="single" w:sz="4" w:space="0" w:color="auto"/>
              <w:bottom w:val="single" w:sz="4" w:space="0" w:color="auto"/>
            </w:tcBorders>
            <w:tcMar>
              <w:top w:w="57" w:type="dxa"/>
              <w:bottom w:w="57" w:type="dxa"/>
            </w:tcMar>
          </w:tcPr>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juistheid, volledigheid informatie;</w:t>
            </w:r>
          </w:p>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inspelend op klantvragen en</w:t>
            </w:r>
            <w:r w:rsidR="007C61B0">
              <w:rPr>
                <w:rFonts w:cs="Arial"/>
                <w:color w:val="000000" w:themeColor="text1"/>
                <w:sz w:val="18"/>
                <w:szCs w:val="18"/>
                <w:lang w:bidi="x-none"/>
              </w:rPr>
              <w:t xml:space="preserve"> -</w:t>
            </w:r>
            <w:r w:rsidRPr="00FF0677">
              <w:rPr>
                <w:rFonts w:cs="Arial"/>
                <w:color w:val="000000" w:themeColor="text1"/>
                <w:sz w:val="18"/>
                <w:szCs w:val="18"/>
                <w:lang w:bidi="x-none"/>
              </w:rPr>
              <w:t>behoeften;</w:t>
            </w:r>
          </w:p>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klanttevredenheid.</w:t>
            </w:r>
          </w:p>
        </w:tc>
      </w:tr>
      <w:tr w:rsidR="00FF0677" w:rsidRPr="00EA6EFB" w:rsidTr="001603C7">
        <w:trPr>
          <w:trHeight w:val="500"/>
        </w:trPr>
        <w:tc>
          <w:tcPr>
            <w:tcW w:w="10071" w:type="dxa"/>
            <w:tcBorders>
              <w:top w:val="single" w:sz="4" w:space="0" w:color="auto"/>
              <w:bottom w:val="single" w:sz="4" w:space="0" w:color="auto"/>
            </w:tcBorders>
            <w:tcMar>
              <w:top w:w="57" w:type="dxa"/>
              <w:bottom w:w="57" w:type="dxa"/>
            </w:tcMar>
          </w:tcPr>
          <w:p w:rsidR="00FF0677" w:rsidRPr="00FF0677" w:rsidRDefault="00FF0677" w:rsidP="00FF0677">
            <w:pPr>
              <w:spacing w:line="240" w:lineRule="auto"/>
              <w:ind w:left="284" w:hanging="284"/>
              <w:rPr>
                <w:rFonts w:cs="Arial"/>
                <w:b/>
                <w:color w:val="000000" w:themeColor="text1"/>
                <w:sz w:val="18"/>
                <w:szCs w:val="18"/>
              </w:rPr>
            </w:pPr>
            <w:r w:rsidRPr="00FF0677">
              <w:rPr>
                <w:rFonts w:cs="Arial"/>
                <w:b/>
                <w:color w:val="000000" w:themeColor="text1"/>
                <w:sz w:val="18"/>
                <w:szCs w:val="18"/>
              </w:rPr>
              <w:t>2.</w:t>
            </w:r>
            <w:r w:rsidRPr="00FF0677">
              <w:rPr>
                <w:rFonts w:cs="Arial"/>
                <w:b/>
                <w:color w:val="000000" w:themeColor="text1"/>
                <w:sz w:val="18"/>
                <w:szCs w:val="18"/>
              </w:rPr>
              <w:tab/>
              <w:t>Klacht</w:t>
            </w:r>
            <w:r w:rsidR="00E411B8">
              <w:rPr>
                <w:rFonts w:cs="Arial"/>
                <w:b/>
                <w:color w:val="000000" w:themeColor="text1"/>
                <w:sz w:val="18"/>
                <w:szCs w:val="18"/>
              </w:rPr>
              <w:t>beheer</w:t>
            </w:r>
          </w:p>
          <w:p w:rsidR="00FF0677" w:rsidRPr="00FF0677" w:rsidRDefault="00FF0677" w:rsidP="00FF0677">
            <w:pPr>
              <w:spacing w:line="240" w:lineRule="auto"/>
              <w:ind w:left="284" w:hanging="284"/>
              <w:rPr>
                <w:rFonts w:cs="Arial"/>
                <w:color w:val="000000" w:themeColor="text1"/>
                <w:sz w:val="18"/>
                <w:szCs w:val="18"/>
              </w:rPr>
            </w:pPr>
            <w:r w:rsidRPr="00FF0677">
              <w:rPr>
                <w:rFonts w:cs="Arial"/>
                <w:color w:val="000000" w:themeColor="text1"/>
                <w:sz w:val="18"/>
                <w:szCs w:val="18"/>
              </w:rPr>
              <w:tab/>
              <w:t xml:space="preserve">Door </w:t>
            </w:r>
            <w:r>
              <w:rPr>
                <w:rFonts w:cs="Arial"/>
                <w:color w:val="000000" w:themeColor="text1"/>
                <w:sz w:val="18"/>
                <w:szCs w:val="18"/>
              </w:rPr>
              <w:t>leden</w:t>
            </w:r>
            <w:r w:rsidRPr="00FF0677">
              <w:rPr>
                <w:rFonts w:cs="Arial"/>
                <w:color w:val="000000" w:themeColor="text1"/>
                <w:sz w:val="18"/>
                <w:szCs w:val="18"/>
              </w:rPr>
              <w:t xml:space="preserve"> gemelde klachten zijn op een juiste manier in behandeling genomen en afgehandeld door de inzet van interne diensten c.q. tijdig geëscaleerd richting </w:t>
            </w:r>
            <w:r w:rsidR="00C45805">
              <w:rPr>
                <w:rFonts w:cs="Arial"/>
                <w:color w:val="000000" w:themeColor="text1"/>
                <w:sz w:val="18"/>
                <w:szCs w:val="18"/>
              </w:rPr>
              <w:t>collega’s/</w:t>
            </w:r>
            <w:r w:rsidRPr="00FF0677">
              <w:rPr>
                <w:rFonts w:cs="Arial"/>
                <w:color w:val="000000" w:themeColor="text1"/>
                <w:sz w:val="18"/>
                <w:szCs w:val="18"/>
              </w:rPr>
              <w:t>teamleider.</w:t>
            </w:r>
          </w:p>
        </w:tc>
        <w:tc>
          <w:tcPr>
            <w:tcW w:w="4501" w:type="dxa"/>
            <w:tcBorders>
              <w:top w:val="single" w:sz="4" w:space="0" w:color="auto"/>
              <w:bottom w:val="single" w:sz="4" w:space="0" w:color="auto"/>
            </w:tcBorders>
            <w:tcMar>
              <w:top w:w="57" w:type="dxa"/>
              <w:bottom w:w="57" w:type="dxa"/>
            </w:tcMar>
          </w:tcPr>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 xml:space="preserve">mate waarin </w:t>
            </w:r>
            <w:r w:rsidR="00725FCE">
              <w:rPr>
                <w:rFonts w:cs="Arial"/>
                <w:color w:val="000000" w:themeColor="text1"/>
                <w:sz w:val="18"/>
                <w:szCs w:val="18"/>
                <w:lang w:bidi="x-none"/>
              </w:rPr>
              <w:t>leden</w:t>
            </w:r>
            <w:r w:rsidRPr="00FF0677">
              <w:rPr>
                <w:rFonts w:cs="Arial"/>
                <w:color w:val="000000" w:themeColor="text1"/>
                <w:sz w:val="18"/>
                <w:szCs w:val="18"/>
                <w:lang w:bidi="x-none"/>
              </w:rPr>
              <w:t xml:space="preserve"> ervaren dat klacht serieus wordt genomen;</w:t>
            </w:r>
          </w:p>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effectieve opvolging van klachten conform procedures;</w:t>
            </w:r>
          </w:p>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tijdige escalatie van klachten.</w:t>
            </w:r>
          </w:p>
        </w:tc>
      </w:tr>
      <w:tr w:rsidR="00FF0677" w:rsidRPr="00EA6EFB" w:rsidTr="00E47F0D">
        <w:trPr>
          <w:trHeight w:val="481"/>
        </w:trPr>
        <w:tc>
          <w:tcPr>
            <w:tcW w:w="10071" w:type="dxa"/>
            <w:tcBorders>
              <w:top w:val="single" w:sz="4" w:space="0" w:color="auto"/>
              <w:bottom w:val="single" w:sz="4" w:space="0" w:color="auto"/>
            </w:tcBorders>
            <w:tcMar>
              <w:top w:w="57" w:type="dxa"/>
              <w:bottom w:w="57" w:type="dxa"/>
            </w:tcMar>
          </w:tcPr>
          <w:p w:rsidR="00FF0677" w:rsidRPr="00FF0677" w:rsidRDefault="00FF0677" w:rsidP="00FF0677">
            <w:pPr>
              <w:spacing w:line="240" w:lineRule="auto"/>
              <w:ind w:left="284" w:hanging="284"/>
              <w:rPr>
                <w:rFonts w:cs="Arial"/>
                <w:b/>
                <w:color w:val="000000" w:themeColor="text1"/>
                <w:sz w:val="18"/>
                <w:szCs w:val="18"/>
              </w:rPr>
            </w:pPr>
            <w:r w:rsidRPr="00FF0677">
              <w:rPr>
                <w:rFonts w:cs="Arial"/>
                <w:b/>
                <w:color w:val="000000" w:themeColor="text1"/>
                <w:sz w:val="18"/>
                <w:szCs w:val="18"/>
              </w:rPr>
              <w:t>3.</w:t>
            </w:r>
            <w:r w:rsidRPr="00FF0677">
              <w:rPr>
                <w:rFonts w:cs="Arial"/>
                <w:b/>
                <w:color w:val="000000" w:themeColor="text1"/>
                <w:sz w:val="18"/>
                <w:szCs w:val="18"/>
              </w:rPr>
              <w:tab/>
              <w:t>Administratie</w:t>
            </w:r>
          </w:p>
          <w:p w:rsidR="00FF0677" w:rsidRPr="00FF0677" w:rsidRDefault="00FF0677" w:rsidP="00FF0677">
            <w:pPr>
              <w:spacing w:line="240" w:lineRule="auto"/>
              <w:ind w:left="284" w:hanging="284"/>
              <w:rPr>
                <w:rFonts w:cs="Arial"/>
                <w:color w:val="000000" w:themeColor="text1"/>
                <w:sz w:val="18"/>
                <w:szCs w:val="18"/>
              </w:rPr>
            </w:pPr>
            <w:r w:rsidRPr="00FF0677">
              <w:rPr>
                <w:rFonts w:cs="Arial"/>
                <w:color w:val="000000" w:themeColor="text1"/>
                <w:sz w:val="18"/>
                <w:szCs w:val="18"/>
              </w:rPr>
              <w:tab/>
              <w:t xml:space="preserve">Alle relevante registraties en administraties inzake </w:t>
            </w:r>
            <w:r>
              <w:rPr>
                <w:rFonts w:cs="Arial"/>
                <w:color w:val="000000" w:themeColor="text1"/>
                <w:sz w:val="18"/>
                <w:szCs w:val="18"/>
              </w:rPr>
              <w:t>leden</w:t>
            </w:r>
            <w:r w:rsidRPr="00FF0677">
              <w:rPr>
                <w:rFonts w:cs="Arial"/>
                <w:color w:val="000000" w:themeColor="text1"/>
                <w:sz w:val="18"/>
                <w:szCs w:val="18"/>
              </w:rPr>
              <w:t xml:space="preserve"> en geleverde diensten zijn op een juiste wijze vastgelegd.</w:t>
            </w:r>
          </w:p>
        </w:tc>
        <w:tc>
          <w:tcPr>
            <w:tcW w:w="4501" w:type="dxa"/>
            <w:tcBorders>
              <w:top w:val="single" w:sz="4" w:space="0" w:color="auto"/>
              <w:bottom w:val="single" w:sz="4" w:space="0" w:color="auto"/>
            </w:tcBorders>
            <w:tcMar>
              <w:top w:w="57" w:type="dxa"/>
              <w:bottom w:w="57" w:type="dxa"/>
            </w:tcMar>
          </w:tcPr>
          <w:p w:rsidR="00FF0677" w:rsidRPr="00FF0677" w:rsidRDefault="00FF0677" w:rsidP="00FF0677">
            <w:pPr>
              <w:spacing w:line="240" w:lineRule="auto"/>
              <w:ind w:left="284" w:hanging="284"/>
              <w:rPr>
                <w:rFonts w:cs="Arial"/>
                <w:color w:val="000000" w:themeColor="text1"/>
                <w:sz w:val="18"/>
                <w:szCs w:val="18"/>
                <w:lang w:bidi="x-none"/>
              </w:rPr>
            </w:pPr>
            <w:r w:rsidRPr="00FF0677">
              <w:rPr>
                <w:rFonts w:cs="Arial"/>
                <w:color w:val="000000" w:themeColor="text1"/>
                <w:sz w:val="18"/>
                <w:szCs w:val="18"/>
                <w:lang w:bidi="x-none"/>
              </w:rPr>
              <w:t>-</w:t>
            </w:r>
            <w:r w:rsidRPr="00FF0677">
              <w:rPr>
                <w:rFonts w:cs="Arial"/>
                <w:color w:val="000000" w:themeColor="text1"/>
                <w:sz w:val="18"/>
                <w:szCs w:val="18"/>
                <w:lang w:bidi="x-none"/>
              </w:rPr>
              <w:tab/>
              <w:t>juistheid, volledigheid en tijdigheid van administraties</w:t>
            </w:r>
            <w:r>
              <w:rPr>
                <w:rFonts w:cs="Arial"/>
                <w:color w:val="000000" w:themeColor="text1"/>
                <w:sz w:val="18"/>
                <w:szCs w:val="18"/>
                <w:lang w:bidi="x-none"/>
              </w:rPr>
              <w:t>.</w:t>
            </w:r>
          </w:p>
        </w:tc>
      </w:tr>
      <w:tr w:rsidR="00FF0677"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FF0677" w:rsidRPr="00EA6EFB" w:rsidRDefault="00FF0677" w:rsidP="00FF0677">
            <w:pPr>
              <w:spacing w:line="240" w:lineRule="auto"/>
              <w:ind w:left="284" w:hanging="284"/>
              <w:rPr>
                <w:color w:val="F18213"/>
                <w:sz w:val="18"/>
                <w:szCs w:val="18"/>
              </w:rPr>
            </w:pPr>
            <w:r w:rsidRPr="00EA6EFB">
              <w:rPr>
                <w:b/>
                <w:color w:val="F18213"/>
                <w:sz w:val="18"/>
                <w:szCs w:val="18"/>
              </w:rPr>
              <w:t>Bezwarende werkomstandigheden</w:t>
            </w:r>
          </w:p>
          <w:p w:rsidR="00FF0677" w:rsidRPr="00EA6EFB" w:rsidRDefault="00FF0677" w:rsidP="00FF0677">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Pr>
                <w:color w:val="auto"/>
                <w:sz w:val="18"/>
                <w:szCs w:val="18"/>
              </w:rPr>
              <w:t>Geen bijzondere.</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E5E" w:rsidRDefault="00FE0E5E" w:rsidP="001073D2">
      <w:pPr>
        <w:spacing w:line="240" w:lineRule="auto"/>
      </w:pPr>
      <w:r>
        <w:separator/>
      </w:r>
    </w:p>
  </w:endnote>
  <w:endnote w:type="continuationSeparator" w:id="0">
    <w:p w:rsidR="00FE0E5E" w:rsidRDefault="00FE0E5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E6" w:rsidRDefault="001E5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462EF0">
      <w:rPr>
        <w:color w:val="auto"/>
        <w:sz w:val="16"/>
      </w:rPr>
      <w:t>24</w:t>
    </w:r>
    <w:r w:rsidR="00E47643">
      <w:rPr>
        <w:color w:val="auto"/>
        <w:sz w:val="16"/>
      </w:rPr>
      <w:t>09</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E6" w:rsidRDefault="001E5B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E5E" w:rsidRDefault="00FE0E5E" w:rsidP="001073D2">
      <w:pPr>
        <w:spacing w:line="240" w:lineRule="auto"/>
      </w:pPr>
      <w:r>
        <w:separator/>
      </w:r>
    </w:p>
  </w:footnote>
  <w:footnote w:type="continuationSeparator" w:id="0">
    <w:p w:rsidR="00FE0E5E" w:rsidRDefault="00FE0E5E"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E6" w:rsidRDefault="001E5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E6" w:rsidRDefault="001E5B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8E"/>
    <w:rsid w:val="00013FFA"/>
    <w:rsid w:val="00022563"/>
    <w:rsid w:val="00040B6A"/>
    <w:rsid w:val="00051C43"/>
    <w:rsid w:val="00053F25"/>
    <w:rsid w:val="0006753D"/>
    <w:rsid w:val="00075FF0"/>
    <w:rsid w:val="0008707B"/>
    <w:rsid w:val="00094E6B"/>
    <w:rsid w:val="000A4E2C"/>
    <w:rsid w:val="000B670F"/>
    <w:rsid w:val="000C1D4D"/>
    <w:rsid w:val="00104B2A"/>
    <w:rsid w:val="00107BB5"/>
    <w:rsid w:val="001133FD"/>
    <w:rsid w:val="001170D1"/>
    <w:rsid w:val="00121D7A"/>
    <w:rsid w:val="00132C5B"/>
    <w:rsid w:val="00140BCD"/>
    <w:rsid w:val="00146FF6"/>
    <w:rsid w:val="001603C7"/>
    <w:rsid w:val="00161FEA"/>
    <w:rsid w:val="00182624"/>
    <w:rsid w:val="0019223A"/>
    <w:rsid w:val="001D08A5"/>
    <w:rsid w:val="001D2817"/>
    <w:rsid w:val="001D5401"/>
    <w:rsid w:val="001E5BE6"/>
    <w:rsid w:val="001F08A7"/>
    <w:rsid w:val="00262F78"/>
    <w:rsid w:val="0026618E"/>
    <w:rsid w:val="00270359"/>
    <w:rsid w:val="00276091"/>
    <w:rsid w:val="0028588A"/>
    <w:rsid w:val="00290ACF"/>
    <w:rsid w:val="002A6A1A"/>
    <w:rsid w:val="002C683A"/>
    <w:rsid w:val="002D200C"/>
    <w:rsid w:val="002D4CDF"/>
    <w:rsid w:val="002E33B9"/>
    <w:rsid w:val="002E7FFB"/>
    <w:rsid w:val="00302BD4"/>
    <w:rsid w:val="00307BA9"/>
    <w:rsid w:val="00310C75"/>
    <w:rsid w:val="00314EFF"/>
    <w:rsid w:val="00325124"/>
    <w:rsid w:val="00330582"/>
    <w:rsid w:val="0033575D"/>
    <w:rsid w:val="003421EC"/>
    <w:rsid w:val="00346AD4"/>
    <w:rsid w:val="00353623"/>
    <w:rsid w:val="00362B10"/>
    <w:rsid w:val="003663DB"/>
    <w:rsid w:val="00384ED9"/>
    <w:rsid w:val="003865F8"/>
    <w:rsid w:val="003A231F"/>
    <w:rsid w:val="003A2926"/>
    <w:rsid w:val="003A6A37"/>
    <w:rsid w:val="003D7528"/>
    <w:rsid w:val="003F2780"/>
    <w:rsid w:val="003F6334"/>
    <w:rsid w:val="004019B8"/>
    <w:rsid w:val="00402C31"/>
    <w:rsid w:val="004046FC"/>
    <w:rsid w:val="00411199"/>
    <w:rsid w:val="00412AF7"/>
    <w:rsid w:val="00416501"/>
    <w:rsid w:val="00433421"/>
    <w:rsid w:val="004336DD"/>
    <w:rsid w:val="0043413A"/>
    <w:rsid w:val="00446423"/>
    <w:rsid w:val="00447F40"/>
    <w:rsid w:val="004555B8"/>
    <w:rsid w:val="00462EF0"/>
    <w:rsid w:val="00466101"/>
    <w:rsid w:val="004701E5"/>
    <w:rsid w:val="00471764"/>
    <w:rsid w:val="00480617"/>
    <w:rsid w:val="004840F6"/>
    <w:rsid w:val="00485B2C"/>
    <w:rsid w:val="00495514"/>
    <w:rsid w:val="004A26B5"/>
    <w:rsid w:val="004C197B"/>
    <w:rsid w:val="004D15C9"/>
    <w:rsid w:val="004D4448"/>
    <w:rsid w:val="004F0259"/>
    <w:rsid w:val="00522558"/>
    <w:rsid w:val="00534425"/>
    <w:rsid w:val="005433E0"/>
    <w:rsid w:val="00561A5B"/>
    <w:rsid w:val="00566BE9"/>
    <w:rsid w:val="005711CD"/>
    <w:rsid w:val="005A3CA4"/>
    <w:rsid w:val="005C0665"/>
    <w:rsid w:val="005D06A7"/>
    <w:rsid w:val="005D4C90"/>
    <w:rsid w:val="005D5B9F"/>
    <w:rsid w:val="005F0464"/>
    <w:rsid w:val="00617C05"/>
    <w:rsid w:val="00626639"/>
    <w:rsid w:val="00631002"/>
    <w:rsid w:val="00634939"/>
    <w:rsid w:val="006461F9"/>
    <w:rsid w:val="00671AE0"/>
    <w:rsid w:val="00677180"/>
    <w:rsid w:val="0069188A"/>
    <w:rsid w:val="006A62C1"/>
    <w:rsid w:val="006A63DE"/>
    <w:rsid w:val="006F4BE7"/>
    <w:rsid w:val="007055A1"/>
    <w:rsid w:val="007119E8"/>
    <w:rsid w:val="00725FCE"/>
    <w:rsid w:val="00730CFB"/>
    <w:rsid w:val="00742901"/>
    <w:rsid w:val="00767896"/>
    <w:rsid w:val="007A39E5"/>
    <w:rsid w:val="007C61B0"/>
    <w:rsid w:val="007C6EB2"/>
    <w:rsid w:val="007E16FA"/>
    <w:rsid w:val="007E18CB"/>
    <w:rsid w:val="00834FD0"/>
    <w:rsid w:val="00860F94"/>
    <w:rsid w:val="00871734"/>
    <w:rsid w:val="00885810"/>
    <w:rsid w:val="0088745A"/>
    <w:rsid w:val="008922CA"/>
    <w:rsid w:val="008A4466"/>
    <w:rsid w:val="008B24C1"/>
    <w:rsid w:val="008E0FD2"/>
    <w:rsid w:val="008F4609"/>
    <w:rsid w:val="00917D61"/>
    <w:rsid w:val="009324D5"/>
    <w:rsid w:val="00935A3C"/>
    <w:rsid w:val="00952F07"/>
    <w:rsid w:val="00954BBA"/>
    <w:rsid w:val="009561BF"/>
    <w:rsid w:val="00967A3B"/>
    <w:rsid w:val="009775D9"/>
    <w:rsid w:val="00982060"/>
    <w:rsid w:val="00993E3B"/>
    <w:rsid w:val="009A3AC2"/>
    <w:rsid w:val="009A7A9A"/>
    <w:rsid w:val="009C4CAC"/>
    <w:rsid w:val="009D0165"/>
    <w:rsid w:val="00A10A67"/>
    <w:rsid w:val="00A11CB3"/>
    <w:rsid w:val="00A16B2F"/>
    <w:rsid w:val="00A2570B"/>
    <w:rsid w:val="00A43B27"/>
    <w:rsid w:val="00A50D1E"/>
    <w:rsid w:val="00A51BFC"/>
    <w:rsid w:val="00A5704B"/>
    <w:rsid w:val="00A66EC4"/>
    <w:rsid w:val="00A743ED"/>
    <w:rsid w:val="00A800D1"/>
    <w:rsid w:val="00A86568"/>
    <w:rsid w:val="00AA2317"/>
    <w:rsid w:val="00AB1C28"/>
    <w:rsid w:val="00AB37CE"/>
    <w:rsid w:val="00AB49A5"/>
    <w:rsid w:val="00AB6EB9"/>
    <w:rsid w:val="00AC1B26"/>
    <w:rsid w:val="00AE215C"/>
    <w:rsid w:val="00AE2FBA"/>
    <w:rsid w:val="00AE5940"/>
    <w:rsid w:val="00AF01E2"/>
    <w:rsid w:val="00B12033"/>
    <w:rsid w:val="00B122E7"/>
    <w:rsid w:val="00B122ED"/>
    <w:rsid w:val="00B55E09"/>
    <w:rsid w:val="00B87542"/>
    <w:rsid w:val="00BA56DD"/>
    <w:rsid w:val="00BA6A0F"/>
    <w:rsid w:val="00BB179D"/>
    <w:rsid w:val="00BB6CA9"/>
    <w:rsid w:val="00BE00B0"/>
    <w:rsid w:val="00BE0D31"/>
    <w:rsid w:val="00BE2B77"/>
    <w:rsid w:val="00BE4B9D"/>
    <w:rsid w:val="00BF7DF7"/>
    <w:rsid w:val="00C30CE9"/>
    <w:rsid w:val="00C3362A"/>
    <w:rsid w:val="00C45805"/>
    <w:rsid w:val="00C65722"/>
    <w:rsid w:val="00C7335F"/>
    <w:rsid w:val="00C84242"/>
    <w:rsid w:val="00C858A3"/>
    <w:rsid w:val="00CA42AF"/>
    <w:rsid w:val="00CD00C2"/>
    <w:rsid w:val="00CD5605"/>
    <w:rsid w:val="00CE1D21"/>
    <w:rsid w:val="00CF5A4D"/>
    <w:rsid w:val="00D13821"/>
    <w:rsid w:val="00D20E02"/>
    <w:rsid w:val="00D2297E"/>
    <w:rsid w:val="00D23048"/>
    <w:rsid w:val="00D32D16"/>
    <w:rsid w:val="00D47925"/>
    <w:rsid w:val="00D47F61"/>
    <w:rsid w:val="00D92D37"/>
    <w:rsid w:val="00DA19B1"/>
    <w:rsid w:val="00DA4EDD"/>
    <w:rsid w:val="00DC1D25"/>
    <w:rsid w:val="00DD390C"/>
    <w:rsid w:val="00DE4471"/>
    <w:rsid w:val="00DF6A29"/>
    <w:rsid w:val="00E2483A"/>
    <w:rsid w:val="00E25AD2"/>
    <w:rsid w:val="00E263E5"/>
    <w:rsid w:val="00E27B4B"/>
    <w:rsid w:val="00E411B8"/>
    <w:rsid w:val="00E47643"/>
    <w:rsid w:val="00E47F0D"/>
    <w:rsid w:val="00E6295D"/>
    <w:rsid w:val="00E62C18"/>
    <w:rsid w:val="00E62C80"/>
    <w:rsid w:val="00E64909"/>
    <w:rsid w:val="00EA3029"/>
    <w:rsid w:val="00EA576C"/>
    <w:rsid w:val="00EA6EFB"/>
    <w:rsid w:val="00ED3481"/>
    <w:rsid w:val="00F0639D"/>
    <w:rsid w:val="00F077CF"/>
    <w:rsid w:val="00F14B08"/>
    <w:rsid w:val="00F26B4F"/>
    <w:rsid w:val="00F42091"/>
    <w:rsid w:val="00F436C5"/>
    <w:rsid w:val="00F50760"/>
    <w:rsid w:val="00F572C7"/>
    <w:rsid w:val="00F615E3"/>
    <w:rsid w:val="00F61A5B"/>
    <w:rsid w:val="00F7095C"/>
    <w:rsid w:val="00F75390"/>
    <w:rsid w:val="00F8480E"/>
    <w:rsid w:val="00FB185E"/>
    <w:rsid w:val="00FB56AE"/>
    <w:rsid w:val="00FC7F1C"/>
    <w:rsid w:val="00FD1EA7"/>
    <w:rsid w:val="00FD3684"/>
    <w:rsid w:val="00FE0E5E"/>
    <w:rsid w:val="00FE51F1"/>
    <w:rsid w:val="00FF0677"/>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A07073BE-B76B-234E-9D98-284AA528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z10/Desktop/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17</TotalTime>
  <Pages>1</Pages>
  <Words>376</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2443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17</cp:revision>
  <cp:lastPrinted>2018-07-19T09:22:00Z</cp:lastPrinted>
  <dcterms:created xsi:type="dcterms:W3CDTF">2018-08-15T07:45:00Z</dcterms:created>
  <dcterms:modified xsi:type="dcterms:W3CDTF">2019-01-23T15:16:00Z</dcterms:modified>
</cp:coreProperties>
</file>